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024" w:rsidRPr="00D57024" w:rsidRDefault="00D57024" w:rsidP="00D57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024">
        <w:rPr>
          <w:b/>
          <w:bCs/>
          <w:color w:val="2A2A2A"/>
          <w:sz w:val="28"/>
          <w:szCs w:val="28"/>
          <w:bdr w:val="none" w:sz="0" w:space="0" w:color="auto" w:frame="1"/>
          <w:shd w:val="clear" w:color="auto" w:fill="FFFFFF"/>
        </w:rPr>
        <w:t>Перелік об’єктів групи Е,</w:t>
      </w:r>
      <w:r w:rsidRPr="00D57024">
        <w:rPr>
          <w:b/>
          <w:bCs/>
          <w:color w:val="2A2A2A"/>
          <w:sz w:val="28"/>
          <w:szCs w:val="28"/>
          <w:bdr w:val="none" w:sz="0" w:space="0" w:color="auto" w:frame="1"/>
          <w:shd w:val="clear" w:color="auto" w:fill="FFFFFF"/>
        </w:rPr>
        <w:br/>
        <w:t>пакети акцій (частки) яких перебувають у комунальній власності територіальної громади міста Києва та підлягають приватизації</w:t>
      </w:r>
    </w:p>
    <w:p w:rsidR="00D57024" w:rsidRPr="00312DE0" w:rsidRDefault="00D57024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024" w:rsidRDefault="00D57024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256"/>
        <w:gridCol w:w="2836"/>
        <w:gridCol w:w="3052"/>
      </w:tblGrid>
      <w:tr w:rsidR="00D57024" w:rsidRPr="00D57024" w:rsidTr="00C317D7">
        <w:tc>
          <w:tcPr>
            <w:tcW w:w="29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N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proofErr w:type="gramStart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1674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proofErr w:type="spellStart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Найменування</w:t>
            </w:r>
            <w:proofErr w:type="spellEnd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об’єкті</w:t>
            </w:r>
            <w:proofErr w:type="gramStart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458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proofErr w:type="spellStart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Юридична</w:t>
            </w:r>
            <w:proofErr w:type="spellEnd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 адреса</w:t>
            </w:r>
          </w:p>
        </w:tc>
        <w:tc>
          <w:tcPr>
            <w:tcW w:w="156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proofErr w:type="spellStart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акцій</w:t>
            </w:r>
            <w:proofErr w:type="spellEnd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 шт.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(% </w:t>
            </w:r>
            <w:proofErr w:type="spellStart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статутного</w:t>
            </w:r>
            <w:proofErr w:type="gramEnd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капіталу</w:t>
            </w:r>
            <w:proofErr w:type="spellEnd"/>
            <w:r w:rsidRPr="00D57024">
              <w:rPr>
                <w:rFonts w:ascii="inherit" w:eastAsia="Times New Roman" w:hAnsi="inherit" w:cs="Times New Roman"/>
                <w:b/>
                <w:bCs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)</w:t>
            </w:r>
          </w:p>
        </w:tc>
        <w:bookmarkStart w:id="0" w:name="_GoBack"/>
        <w:bookmarkEnd w:id="0"/>
      </w:tr>
      <w:tr w:rsidR="00D57024" w:rsidRPr="00D57024" w:rsidTr="00C317D7">
        <w:tc>
          <w:tcPr>
            <w:tcW w:w="29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1674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458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56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4</w:t>
            </w:r>
          </w:p>
        </w:tc>
      </w:tr>
      <w:tr w:rsidR="00D57024" w:rsidRPr="00D57024" w:rsidTr="00C317D7">
        <w:tc>
          <w:tcPr>
            <w:tcW w:w="299" w:type="pct"/>
            <w:shd w:val="clear" w:color="auto" w:fill="FFFFFF"/>
            <w:vAlign w:val="bottom"/>
          </w:tcPr>
          <w:p w:rsidR="00D57024" w:rsidRPr="00D57024" w:rsidRDefault="00D57024" w:rsidP="00D57024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674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ВАТ “Завод “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Керамі</w:t>
            </w:r>
            <w:proofErr w:type="gram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</w:t>
            </w:r>
            <w:proofErr w:type="spellEnd"/>
            <w:proofErr w:type="gram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”</w:t>
            </w:r>
          </w:p>
        </w:tc>
        <w:tc>
          <w:tcPr>
            <w:tcW w:w="1458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04080, м.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Київ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вул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Костянтинівська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 71</w:t>
            </w:r>
          </w:p>
        </w:tc>
        <w:tc>
          <w:tcPr>
            <w:tcW w:w="156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1818804 шт.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(30 %)</w:t>
            </w:r>
          </w:p>
        </w:tc>
      </w:tr>
      <w:tr w:rsidR="00D57024" w:rsidRPr="00D57024" w:rsidTr="00C317D7">
        <w:tc>
          <w:tcPr>
            <w:tcW w:w="299" w:type="pct"/>
            <w:shd w:val="clear" w:color="auto" w:fill="FFFFFF"/>
            <w:vAlign w:val="bottom"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674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ПАТ “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Техводсерві</w:t>
            </w:r>
            <w:proofErr w:type="gram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с</w:t>
            </w:r>
            <w:proofErr w:type="spellEnd"/>
            <w:proofErr w:type="gram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”</w:t>
            </w:r>
          </w:p>
        </w:tc>
        <w:tc>
          <w:tcPr>
            <w:tcW w:w="1458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04077, м.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Київ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вул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. Дніпроводська, 1-а</w:t>
            </w:r>
          </w:p>
        </w:tc>
        <w:tc>
          <w:tcPr>
            <w:tcW w:w="156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44247295 шт.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(97,77 %)</w:t>
            </w:r>
          </w:p>
        </w:tc>
      </w:tr>
      <w:tr w:rsidR="00D57024" w:rsidRPr="00D57024" w:rsidTr="00C317D7">
        <w:tc>
          <w:tcPr>
            <w:tcW w:w="299" w:type="pct"/>
            <w:shd w:val="clear" w:color="auto" w:fill="FFFFFF"/>
            <w:vAlign w:val="bottom"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674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ЗАТ “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Старий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Хрещатик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”</w:t>
            </w:r>
          </w:p>
        </w:tc>
        <w:tc>
          <w:tcPr>
            <w:tcW w:w="1458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01001, м.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Київ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вул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Хрещатик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 44-а</w:t>
            </w:r>
          </w:p>
        </w:tc>
        <w:tc>
          <w:tcPr>
            <w:tcW w:w="156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23549 шт.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(50 % +1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акція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)</w:t>
            </w:r>
          </w:p>
        </w:tc>
      </w:tr>
      <w:tr w:rsidR="00D57024" w:rsidRPr="00D57024" w:rsidTr="00C317D7">
        <w:tc>
          <w:tcPr>
            <w:tcW w:w="299" w:type="pct"/>
            <w:shd w:val="clear" w:color="auto" w:fill="FFFFFF"/>
            <w:vAlign w:val="bottom"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1674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ЗАТ “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Екотехпром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”</w:t>
            </w:r>
          </w:p>
        </w:tc>
        <w:tc>
          <w:tcPr>
            <w:tcW w:w="1458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01133, м.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Київ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бульв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. Лихачова, 1/27</w:t>
            </w:r>
          </w:p>
        </w:tc>
        <w:tc>
          <w:tcPr>
            <w:tcW w:w="156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169560000 шт.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(51 %)</w:t>
            </w:r>
          </w:p>
        </w:tc>
      </w:tr>
      <w:tr w:rsidR="00D57024" w:rsidRPr="00D57024" w:rsidTr="00C317D7">
        <w:tc>
          <w:tcPr>
            <w:tcW w:w="299" w:type="pct"/>
            <w:shd w:val="clear" w:color="auto" w:fill="FFFFFF"/>
            <w:vAlign w:val="bottom"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74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СП “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Мрія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-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Дав</w:t>
            </w:r>
            <w:proofErr w:type="gram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і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-</w:t>
            </w:r>
            <w:proofErr w:type="gram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Дан”</w:t>
            </w:r>
          </w:p>
        </w:tc>
        <w:tc>
          <w:tcPr>
            <w:tcW w:w="1458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м.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Київ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вул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. Старовокзальна, 24</w:t>
            </w:r>
          </w:p>
        </w:tc>
        <w:tc>
          <w:tcPr>
            <w:tcW w:w="156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(40 %)</w:t>
            </w:r>
          </w:p>
        </w:tc>
      </w:tr>
      <w:tr w:rsidR="00D57024" w:rsidRPr="00D57024" w:rsidTr="00C317D7">
        <w:tc>
          <w:tcPr>
            <w:tcW w:w="299" w:type="pct"/>
            <w:shd w:val="clear" w:color="auto" w:fill="FFFFFF"/>
            <w:vAlign w:val="bottom"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1674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proofErr w:type="gram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ТОВ</w:t>
            </w:r>
            <w:proofErr w:type="gram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 “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Футбольний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 клуб “Арсенал-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Київ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”</w:t>
            </w:r>
          </w:p>
        </w:tc>
        <w:tc>
          <w:tcPr>
            <w:tcW w:w="1458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04073, м.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Київ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</w:t>
            </w:r>
            <w:r w:rsidRPr="00D57024"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br/>
            </w: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просп.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Червоних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Козаків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 8, корп. 6</w:t>
            </w:r>
          </w:p>
        </w:tc>
        <w:tc>
          <w:tcPr>
            <w:tcW w:w="156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(3 %)</w:t>
            </w:r>
          </w:p>
        </w:tc>
      </w:tr>
      <w:tr w:rsidR="00D57024" w:rsidRPr="00D57024" w:rsidTr="00C317D7">
        <w:tc>
          <w:tcPr>
            <w:tcW w:w="299" w:type="pct"/>
            <w:shd w:val="clear" w:color="auto" w:fill="FFFFFF"/>
            <w:vAlign w:val="bottom"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1674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ПАТ “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Київспецтранс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”</w:t>
            </w:r>
          </w:p>
        </w:tc>
        <w:tc>
          <w:tcPr>
            <w:tcW w:w="1458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04208, м.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Київ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, просп.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Правди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 85</w:t>
            </w:r>
          </w:p>
        </w:tc>
        <w:tc>
          <w:tcPr>
            <w:tcW w:w="156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ahoma" w:eastAsia="Times New Roman" w:hAnsi="Tahoma" w:cs="Tahoma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28422961 шт. (25 % + 1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акція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)</w:t>
            </w:r>
          </w:p>
        </w:tc>
      </w:tr>
      <w:tr w:rsidR="00D57024" w:rsidRPr="00D57024" w:rsidTr="00C317D7">
        <w:tc>
          <w:tcPr>
            <w:tcW w:w="299" w:type="pct"/>
            <w:shd w:val="clear" w:color="auto" w:fill="FFFFFF"/>
            <w:vAlign w:val="bottom"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1674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</w:pPr>
            <w:proofErr w:type="gram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  <w:t>ТОВ</w:t>
            </w:r>
            <w:proofErr w:type="gram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  <w:t xml:space="preserve"> «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  <w:t>Українсько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  <w:t xml:space="preserve"> –          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  <w:t>Швейцарський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  <w:t>медичний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  <w:t xml:space="preserve"> центр «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  <w:t>Клініка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  <w:t xml:space="preserve"> ХХІ»</w:t>
            </w:r>
          </w:p>
        </w:tc>
        <w:tc>
          <w:tcPr>
            <w:tcW w:w="1458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after="0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02166, м.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Київ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 xml:space="preserve">, просп. </w:t>
            </w:r>
            <w:proofErr w:type="spellStart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Лісовий</w:t>
            </w:r>
            <w:proofErr w:type="spellEnd"/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, 35</w:t>
            </w:r>
          </w:p>
        </w:tc>
        <w:tc>
          <w:tcPr>
            <w:tcW w:w="1569" w:type="pct"/>
            <w:shd w:val="clear" w:color="auto" w:fill="FFFFFF"/>
            <w:vAlign w:val="bottom"/>
            <w:hideMark/>
          </w:tcPr>
          <w:p w:rsidR="00D57024" w:rsidRPr="00D57024" w:rsidRDefault="00D57024" w:rsidP="00D57024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 w:eastAsia="ru-RU"/>
              </w:rPr>
            </w:pPr>
            <w:r w:rsidRPr="00D5702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bdr w:val="none" w:sz="0" w:space="0" w:color="auto" w:frame="1"/>
                <w:lang w:val="ru-RU" w:eastAsia="ru-RU"/>
              </w:rPr>
              <w:t>(30%)</w:t>
            </w:r>
          </w:p>
        </w:tc>
      </w:tr>
    </w:tbl>
    <w:p w:rsidR="00D57024" w:rsidRPr="00312DE0" w:rsidRDefault="00D57024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7024" w:rsidRPr="00312DE0" w:rsidSect="00C317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7024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317D7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57024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2134-93FC-472E-B2A8-8E3A904A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2022-01-19T13:31:00Z</dcterms:created>
  <dcterms:modified xsi:type="dcterms:W3CDTF">2022-01-19T13:39:00Z</dcterms:modified>
</cp:coreProperties>
</file>